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76" w:rsidRDefault="00463276" w:rsidP="00463276">
      <w:pPr>
        <w:autoSpaceDE w:val="0"/>
        <w:autoSpaceDN w:val="0"/>
        <w:adjustRightInd w:val="0"/>
        <w:jc w:val="right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Anexa nr. 1 la Prooiectul nr. 12 din 15.01.2024</w:t>
      </w:r>
    </w:p>
    <w:p w:rsidR="00463276" w:rsidRDefault="00463276" w:rsidP="0046327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Pr="00463276" w:rsidRDefault="00463276" w:rsidP="0046327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REGULAMENT</w:t>
      </w:r>
    </w:p>
    <w:p w:rsidR="00463276" w:rsidRPr="002E3A86" w:rsidRDefault="00463276" w:rsidP="00463276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p</w:t>
      </w:r>
      <w:r w:rsidRPr="002E3A8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rivind decontarea cheltuielilor de transport pentru funcţionarii publici</w:t>
      </w:r>
    </w:p>
    <w:p w:rsidR="00463276" w:rsidRPr="002E3A86" w:rsidRDefault="00463276" w:rsidP="00463276">
      <w:pPr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2E3A8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din cadrul Primăriei comunei 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Saligny, județul Constanța</w:t>
      </w:r>
    </w:p>
    <w:p w:rsid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P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Art.1.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(1)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Prezentul regulament are ca obiect stabilirea procedurilor şi a documentelor justificative ce trebuie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prezentate la decont de persoanele implicate, precum şi a rolului autorităţilor administraţiei publice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locale, în vederea decontării cheltuielilor cu efectuarea navetei funcţionarilor publici din aparatul de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specialitate al primarului comunei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>Saligny,                  județul Constanța.</w:t>
      </w:r>
    </w:p>
    <w:p w:rsidR="00463276" w:rsidRPr="00463276" w:rsidRDefault="00463276" w:rsidP="00463276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(2)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În întelesu</w:t>
      </w:r>
      <w:r w:rsidR="000F2574">
        <w:rPr>
          <w:rFonts w:ascii="Tahoma" w:eastAsiaTheme="minorHAnsi" w:hAnsi="Tahoma" w:cs="Tahoma"/>
          <w:sz w:val="22"/>
          <w:szCs w:val="22"/>
          <w:lang w:val="en-US" w:eastAsia="en-US"/>
        </w:rPr>
        <w:t>l prezentului regulament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, termenii şi expresiile folosite au următoarea semnificaţie:</w:t>
      </w:r>
    </w:p>
    <w:p w:rsidR="00463276" w:rsidRPr="00463276" w:rsidRDefault="00463276" w:rsidP="0046327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i/>
          <w:iCs/>
          <w:sz w:val="22"/>
          <w:szCs w:val="22"/>
          <w:lang w:val="en-US" w:eastAsia="en-US"/>
        </w:rPr>
        <w:t xml:space="preserve">beneficiari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– funcţionarii publici din cadrul aparatului de specialitate al primarului comunei Saligny, îndreptăţiţi la decontarea cheltuielilor de navetă, care nu deţin locuinţă în localitatea unde au locul de muncă;</w:t>
      </w:r>
    </w:p>
    <w:p w:rsidR="00463276" w:rsidRDefault="00463276" w:rsidP="0046327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i/>
          <w:iCs/>
          <w:sz w:val="22"/>
          <w:szCs w:val="22"/>
          <w:lang w:val="en-US" w:eastAsia="en-US"/>
        </w:rPr>
        <w:t xml:space="preserve">localitate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– în conformitate cu dispoziţiile art.2 alin.(2) din Legea nr.351/2001 privind aprobarea Planului de amenare a teritoriului naţional, secţiunea IV-a – Reţeaua de localităţi, cu modificările şicompletările ulterioare, prin localitate se înţelege: capitala României, municipii, oraşe, sate reşedinţă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de comună, sate componente ale comunelor şi sate aparţinând municipiilor şi oraşelor;</w:t>
      </w:r>
    </w:p>
    <w:p w:rsidR="00463276" w:rsidRDefault="00463276" w:rsidP="0046327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i/>
          <w:iCs/>
          <w:sz w:val="22"/>
          <w:szCs w:val="22"/>
          <w:lang w:val="en-US" w:eastAsia="en-US"/>
        </w:rPr>
        <w:t xml:space="preserve">localitatea de domiciliu/reşedinţă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– localitatea din mediul urban sau din mediul rural în care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persoana are domiciliul/reşedinţa, potrivit documentelor de evidenţă a populaţiei;</w:t>
      </w:r>
    </w:p>
    <w:p w:rsidR="00463276" w:rsidRPr="00463276" w:rsidRDefault="00463276" w:rsidP="0046327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navetă – deplasarea dus-întors a beneficiarilor din localitatea de domiciliu/reşedinţă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într-o altă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localitate unde aceştia îşi au locul de muncă;</w:t>
      </w:r>
    </w:p>
    <w:p w:rsidR="00463276" w:rsidRP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Art.2.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(1)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Autorităţile administraţiei publice locale cuprind în bugetul local, sume destinate decontării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cheltuielilor cu efectuarea navetei beneficiarilor din aparatul de specialitate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        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al primarului comunei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>Saligny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, care nu dispun de locuinţă în localitatea unde au locul de muncă</w:t>
      </w:r>
      <w:r w:rsidR="000F2574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și cărora nu li se poate asigura o locuință de serviciu de către autoritățile publice locale.</w:t>
      </w:r>
    </w:p>
    <w:p w:rsidR="00463276" w:rsidRPr="00463276" w:rsidRDefault="00463276" w:rsidP="00463276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(2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) Sumele destinate navetei beneficiarilor prevăzuţi la alin.(1) se asigură din bugetul local al comunei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Saligny, Județul Constanța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.</w:t>
      </w:r>
    </w:p>
    <w:p w:rsid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Art.</w:t>
      </w:r>
      <w:r w:rsidR="000F2574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3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.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(1)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Naveta beneficiarilor poate fi efectuată cu:</w:t>
      </w:r>
    </w:p>
    <w:p w:rsidR="00463276" w:rsidRP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Default="00463276" w:rsidP="0046327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mijloace de transport ale operatorilor de transport autorizaţi (transport în comun: microbuze,autobuze);</w:t>
      </w:r>
    </w:p>
    <w:p w:rsidR="00463276" w:rsidRDefault="00463276" w:rsidP="0046327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lastRenderedPageBreak/>
        <w:t>autoturismul proprietate personală sau deţinut legal cu orice titlu (contract comodat, procură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notarială, etc.)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>;</w:t>
      </w:r>
    </w:p>
    <w:p w:rsidR="00463276" w:rsidRPr="00463276" w:rsidRDefault="00463276" w:rsidP="00463276">
      <w:pPr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463276" w:rsidRPr="00463276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Art.</w:t>
      </w:r>
      <w:r w:rsidR="000F2574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4</w:t>
      </w:r>
      <w:r w:rsidR="00B62DA7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="000F2574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(1)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În vederea decontării lunare a cheltuielilor de 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>deplasare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, autoritatea executivă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analizează cererile pentru decontarea cheltuielilor de transport, 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cu efectuarea navetei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având</w:t>
      </w:r>
      <w:r w:rsidR="002825CC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în vedere următoarele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elemente:</w:t>
      </w:r>
    </w:p>
    <w:p w:rsidR="00463276" w:rsidRDefault="00463276" w:rsidP="0046327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134" w:hanging="414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existența cererii prin care se solicită decontarea cheltuielilor de 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>deplasare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, potrivit modelului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prevăzut în anexa la prezentul regulament, care face parte integrantă din acesta;</w:t>
      </w:r>
    </w:p>
    <w:p w:rsidR="00463276" w:rsidRDefault="00463276" w:rsidP="0046327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134" w:hanging="414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domiciliul/reședința solicitantului dovedite cu mențiunile cuprinse în cartea de identitate, potrivit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prevederilor Legii nr. 287/2009 privind Codul civil, republicată,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cu modificările ulterioare;</w:t>
      </w:r>
    </w:p>
    <w:p w:rsidR="00463276" w:rsidRDefault="00463276" w:rsidP="0046327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134" w:hanging="414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distanța, în kilometri, între localitatea de domiciliu/reședință și localitatea în care se află situat locul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de muncă;</w:t>
      </w:r>
    </w:p>
    <w:p w:rsidR="00463276" w:rsidRDefault="00463276" w:rsidP="0046327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134" w:hanging="414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B62DA7">
        <w:rPr>
          <w:rFonts w:ascii="Tahoma" w:eastAsiaTheme="minorHAnsi" w:hAnsi="Tahoma" w:cs="Tahoma"/>
          <w:sz w:val="22"/>
          <w:szCs w:val="22"/>
          <w:lang w:val="en-US" w:eastAsia="en-US"/>
        </w:rPr>
        <w:t>mijloacele de transport în comun cu care se deplasează solicitantul între localitatea de domiciliu și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B62DA7">
        <w:rPr>
          <w:rFonts w:ascii="Tahoma" w:eastAsiaTheme="minorHAnsi" w:hAnsi="Tahoma" w:cs="Tahoma"/>
          <w:sz w:val="22"/>
          <w:szCs w:val="22"/>
          <w:lang w:val="en-US" w:eastAsia="en-US"/>
        </w:rPr>
        <w:t>localitatea în care se află situat locul de muncă;</w:t>
      </w:r>
    </w:p>
    <w:p w:rsidR="00463276" w:rsidRDefault="00463276" w:rsidP="0046327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134" w:hanging="414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valoarea 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biletelor/contravaloarea </w:t>
      </w:r>
      <w:r w:rsidRP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unui abonament lunar pe fiecare tip de mijloc </w:t>
      </w:r>
      <w:r w:rsidR="00B62DA7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 </w:t>
      </w:r>
      <w:r w:rsidRPr="00B62DA7">
        <w:rPr>
          <w:rFonts w:ascii="Tahoma" w:eastAsiaTheme="minorHAnsi" w:hAnsi="Tahoma" w:cs="Tahoma"/>
          <w:sz w:val="22"/>
          <w:szCs w:val="22"/>
          <w:lang w:val="en-US" w:eastAsia="en-US"/>
        </w:rPr>
        <w:t>de transport în comun;</w:t>
      </w:r>
    </w:p>
    <w:p w:rsidR="00463276" w:rsidRPr="00B62DA7" w:rsidRDefault="00B62DA7" w:rsidP="0046327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134" w:hanging="414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declarație pe proprie răspundere dacă solicitantul deține sau nu deține locuință </w:t>
      </w:r>
      <w:r w:rsidR="002825CC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în localitatea unde își </w:t>
      </w:r>
      <w:r w:rsidR="002825CC">
        <w:rPr>
          <w:rFonts w:ascii="Tahoma" w:eastAsiaTheme="minorHAnsi" w:hAnsi="Tahoma" w:cs="Tahoma"/>
          <w:sz w:val="22"/>
          <w:szCs w:val="22"/>
          <w:lang w:val="en-US" w:eastAsia="en-US"/>
        </w:rPr>
        <w:t>are locul de muncă.</w:t>
      </w:r>
    </w:p>
    <w:p w:rsidR="00463276" w:rsidRPr="00463276" w:rsidRDefault="002825CC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            </w:t>
      </w:r>
      <w:r w:rsidR="00463276"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(2)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Autoritatea executivă analizează și verifică solicitările, aprobă lunar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cererile solicitanților și deschide credite pentru efectuarea plăților.</w:t>
      </w:r>
    </w:p>
    <w:p w:rsidR="00463276" w:rsidRPr="002825CC" w:rsidRDefault="00463276" w:rsidP="00363C90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Art.6.</w:t>
      </w:r>
      <w:r w:rsidR="002825CC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(1)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În vederea stabilirii sumelor necesare decontării cheltuielilor de transport,</w:t>
      </w:r>
      <w:r w:rsidR="002825CC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        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în perioada 1- 31</w:t>
      </w:r>
      <w:r w:rsidR="002825CC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ianuarie a fiecărui an, beneficiarii înștiințează în scris primarul unității administrativ-teritoriale că pe parcursul anului vor solicita decontarea cheltuielilor de transport la și de</w:t>
      </w:r>
      <w:r w:rsidR="002825CC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la locul de muncă, cu specificarea nivelului estimat al valorii totale.</w:t>
      </w:r>
    </w:p>
    <w:p w:rsidR="00463276" w:rsidRPr="00363C90" w:rsidRDefault="00463276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Art.7.</w:t>
      </w:r>
      <w:r w:rsidR="00363C90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(1)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Decontarea abonamentelor/biletelor de transport emise de operatorii de transport auto pentru</w:t>
      </w:r>
      <w:r w:rsidR="00363C90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beneficiari se asigură la valoarea acestora.</w:t>
      </w:r>
    </w:p>
    <w:p w:rsidR="00463276" w:rsidRPr="00463276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           </w:t>
      </w:r>
      <w:r w:rsidR="00463276"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(2)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Sunt acceptate la decont biletele emise zilnic de operatorii de transport numai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în situațiile în care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pe ruta respectivă nu se emit abonamente sau atunci când beneficiarul utilizează mai multe mijloace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de transport în comun.</w:t>
      </w:r>
    </w:p>
    <w:p w:rsidR="00463276" w:rsidRPr="00463276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           </w:t>
      </w:r>
      <w:r w:rsidR="00463276"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(3)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Distanța pentru care se decontează abonamentul/biletul și care este înscrisă pe documentul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justificativ este distanța dintre localitatea de domiciliu/reședință a beneficiarului și localitatea în care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se află locul de muncă.</w:t>
      </w:r>
    </w:p>
    <w:p w:rsidR="00463276" w:rsidRPr="00463276" w:rsidRDefault="00363C90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(</w:t>
      </w: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4</w:t>
      </w:r>
      <w:r w:rsidR="00463276"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)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Decontarea cheltuielilor cu efectuarea deplasării se face pentru autoturismul proprietate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personal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sau deținut/ă legal cu orice titlu, prin primirea contravalorii consumului de carburant necesar pentru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parcurgerea distanței celei mai scurte, la echivalentul a 7,5 litri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la fiecare 100 km parcurși. Distanța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cea mai scurtă dintre localități este distanța calculată pe drumuri publice. Pentru stabilirea distanțelor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="00463276"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se va utiliza un calculator de rute.</w:t>
      </w:r>
    </w:p>
    <w:p w:rsidR="00463276" w:rsidRPr="00463276" w:rsidRDefault="00463276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(</w:t>
      </w:r>
      <w:r w:rsidR="00363C90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5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Beneficiarul face dovada efectuării deplasării cu documentele prevăzute în Cerere pentru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decontarea lunară a deplasării, anexa la prezentul regulament.</w:t>
      </w:r>
    </w:p>
    <w:p w:rsidR="00463276" w:rsidRPr="00463276" w:rsidRDefault="00463276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lastRenderedPageBreak/>
        <w:t>(</w:t>
      </w:r>
      <w:r w:rsidR="00363C90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6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Primarul unității administrativ-teritoriale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are obligația efectuării plății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abonamentelor/biletelor și contravalorii transportului efectuat cu autoturismul proprietate 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personal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sau deținut legal cu orice titlu, în luna următoare celei pentru care au fost prezentate documentele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justificative.</w:t>
      </w:r>
    </w:p>
    <w:p w:rsidR="00463276" w:rsidRPr="00463276" w:rsidRDefault="00463276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(</w:t>
      </w:r>
      <w:r w:rsidR="00363C90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7</w:t>
      </w: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Compartimentul de specialitate din cadrul Primăriei comunei 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>Saligny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, răspunde de arhivarea şi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păstrarea documentelor justificative prezentate la decont.</w:t>
      </w:r>
    </w:p>
    <w:p w:rsidR="00463276" w:rsidRPr="00463276" w:rsidRDefault="00463276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(9)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Decontarea cheltuielilor cu efectuarea navetei:</w:t>
      </w:r>
    </w:p>
    <w:p w:rsidR="00363C90" w:rsidRPr="00463276" w:rsidRDefault="00463276" w:rsidP="00363C90">
      <w:pPr>
        <w:autoSpaceDE w:val="0"/>
        <w:autoSpaceDN w:val="0"/>
        <w:adjustRightInd w:val="0"/>
        <w:ind w:left="1418" w:firstLine="22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a)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se realizează proporţional cu perioada de activitate din cadrul unei luni 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calendaristice, pe baza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pontajului lunar;</w:t>
      </w:r>
    </w:p>
    <w:p w:rsidR="00463276" w:rsidRPr="00463276" w:rsidRDefault="00463276" w:rsidP="00363C90">
      <w:pPr>
        <w:autoSpaceDE w:val="0"/>
        <w:autoSpaceDN w:val="0"/>
        <w:adjustRightInd w:val="0"/>
        <w:ind w:left="1418" w:firstLine="22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b)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nu se realizează pe perioada concediilor de odihnă sau a suspendării rapoartelor de serviciu ale</w:t>
      </w:r>
      <w:r w:rsid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beneficiarilor.</w:t>
      </w: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363C90" w:rsidRDefault="00363C90" w:rsidP="00363C90">
      <w:pPr>
        <w:autoSpaceDE w:val="0"/>
        <w:autoSpaceDN w:val="0"/>
        <w:adjustRightInd w:val="0"/>
        <w:jc w:val="right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 xml:space="preserve">Anexă la regulament </w:t>
      </w:r>
    </w:p>
    <w:p w:rsidR="00363C90" w:rsidRDefault="00363C90" w:rsidP="0046327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</w:p>
    <w:p w:rsidR="00463276" w:rsidRPr="00463276" w:rsidRDefault="00463276" w:rsidP="00363C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b/>
          <w:bCs/>
          <w:sz w:val="22"/>
          <w:szCs w:val="22"/>
          <w:lang w:val="en-US" w:eastAsia="en-US"/>
        </w:rPr>
        <w:t>CERERE</w:t>
      </w:r>
    </w:p>
    <w:p w:rsidR="00463276" w:rsidRDefault="00463276" w:rsidP="00363C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463276">
        <w:rPr>
          <w:rFonts w:ascii="Tahoma" w:eastAsiaTheme="minorHAnsi" w:hAnsi="Tahoma" w:cs="Tahoma"/>
          <w:sz w:val="22"/>
          <w:szCs w:val="22"/>
          <w:lang w:val="en-US" w:eastAsia="en-US"/>
        </w:rPr>
        <w:t>pentru decontarea lunară a cheltuielilor de transport</w:t>
      </w:r>
    </w:p>
    <w:p w:rsidR="00363C90" w:rsidRDefault="00363C90" w:rsidP="00363C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Default="00363C90" w:rsidP="00363C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Pr="00363C90" w:rsidRDefault="00363C90" w:rsidP="00363C90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Domnule primar,</w:t>
      </w:r>
    </w:p>
    <w:p w:rsidR="00363C90" w:rsidRDefault="00363C90" w:rsidP="00363C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Pr="00363C90" w:rsidRDefault="00363C90" w:rsidP="00363C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Pr="00363C90" w:rsidRDefault="00363C90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Subsemnatul/Subsemnata,___________________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>___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_________,posesor/posesoare al/a</w:t>
      </w:r>
    </w:p>
    <w:p w:rsidR="00363C90" w:rsidRDefault="00363C90" w:rsidP="00363C90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B.I./C.I. seria ________Nr. ______________,CNP _________________________, angajat/ă în cadrul_____________________________ având funcția de________________________,solicit decontarea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cheltuielilor de transport pe luna______________________ anul _________,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            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în cuantum de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_______________lei, reprezentând contravaloarea:</w:t>
      </w:r>
    </w:p>
    <w:p w:rsidR="00363C90" w:rsidRPr="00363C90" w:rsidRDefault="00363C90" w:rsidP="00363C90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abonamentului;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biletelor de călătorie;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facturilor emise de firma transportatoare;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bonurilor de carburant.</w:t>
      </w:r>
    </w:p>
    <w:p w:rsidR="00363C90" w:rsidRDefault="00363C90" w:rsidP="00363C90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Atașez următoarele documente doveditoare: - dacă deplasarea se efectuează cu mijloc de transport în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comun: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copie a B.I./C.I.;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abonament;</w:t>
      </w:r>
    </w:p>
    <w:p w:rsid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bilete de călătorie;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Default="00363C90" w:rsidP="00363C90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- dacă deplasarea se efectuează cu autoturismul proprietate personală:</w:t>
      </w:r>
    </w:p>
    <w:p w:rsidR="00363C90" w:rsidRPr="00363C90" w:rsidRDefault="00363C90" w:rsidP="00363C90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Pr="00363C90" w:rsidRDefault="00363C90" w:rsidP="00363C90">
      <w:pPr>
        <w:autoSpaceDE w:val="0"/>
        <w:autoSpaceDN w:val="0"/>
        <w:adjustRightInd w:val="0"/>
        <w:ind w:firstLine="720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copie a B.I./C.I.;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copie a certificatului de înmatriculare al autoturismului (dacă este înmatriculat pe numele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persoanei solicitante sau al soțului) sau altă dovadă a proprietății asupra mijlocului de transport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împuternicire notarială (dacă autoturismul înmatriculat pe numele altei persoane);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contract de comodat (dacă autoturismul este înmatriculat pe numele altei persoane);</w:t>
      </w:r>
    </w:p>
    <w:p w:rsidR="00363C90" w:rsidRPr="00363C90" w:rsidRDefault="00363C90" w:rsidP="00363C90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|_| bonuri de carburant.</w:t>
      </w:r>
    </w:p>
    <w:p w:rsidR="00363C90" w:rsidRDefault="00363C90" w:rsidP="00363C90">
      <w:pPr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363C90" w:rsidRDefault="00363C90" w:rsidP="00363C90">
      <w:pPr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p w:rsidR="00782AB1" w:rsidRPr="00363C90" w:rsidRDefault="00363C90" w:rsidP="00363C9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      Data______________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_ </w:t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ab/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ab/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ab/>
      </w:r>
      <w:r>
        <w:rPr>
          <w:rFonts w:ascii="Tahoma" w:eastAsiaTheme="minorHAnsi" w:hAnsi="Tahoma" w:cs="Tahoma"/>
          <w:sz w:val="22"/>
          <w:szCs w:val="22"/>
          <w:lang w:val="en-US" w:eastAsia="en-US"/>
        </w:rPr>
        <w:tab/>
        <w:t xml:space="preserve">                 </w:t>
      </w:r>
      <w:r w:rsidRPr="00363C90">
        <w:rPr>
          <w:rFonts w:ascii="Tahoma" w:eastAsiaTheme="minorHAnsi" w:hAnsi="Tahoma" w:cs="Tahoma"/>
          <w:sz w:val="22"/>
          <w:szCs w:val="22"/>
          <w:lang w:val="en-US" w:eastAsia="en-US"/>
        </w:rPr>
        <w:t>Semnătura ________________</w:t>
      </w:r>
    </w:p>
    <w:sectPr w:rsidR="00782AB1" w:rsidRPr="00363C90" w:rsidSect="00782AB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EF" w:rsidRDefault="00954AEF" w:rsidP="00C9139A">
      <w:r>
        <w:separator/>
      </w:r>
    </w:p>
  </w:endnote>
  <w:endnote w:type="continuationSeparator" w:id="0">
    <w:p w:rsidR="00954AEF" w:rsidRDefault="00954AEF" w:rsidP="00C9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EF" w:rsidRDefault="00954AEF" w:rsidP="00C9139A">
      <w:r>
        <w:separator/>
      </w:r>
    </w:p>
  </w:footnote>
  <w:footnote w:type="continuationSeparator" w:id="0">
    <w:p w:rsidR="00954AEF" w:rsidRDefault="00954AEF" w:rsidP="00C91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9A" w:rsidRDefault="00C9139A" w:rsidP="00C9139A">
    <w:pPr>
      <w:jc w:val="center"/>
      <w:rPr>
        <w:rFonts w:ascii="Franklin Gothic Medium" w:hAnsi="Franklin Gothic Medium"/>
        <w:b/>
        <w:i/>
        <w:shadow/>
        <w:color w:val="000000"/>
      </w:rPr>
    </w:pPr>
  </w:p>
  <w:p w:rsidR="00C9139A" w:rsidRPr="00707C36" w:rsidRDefault="00C9139A" w:rsidP="00C9139A">
    <w:pPr>
      <w:jc w:val="center"/>
      <w:rPr>
        <w:rFonts w:ascii="Tahoma" w:hAnsi="Tahoma" w:cs="Tahoma"/>
        <w:b/>
        <w:shadow/>
        <w:color w:val="000000"/>
        <w:sz w:val="28"/>
        <w:szCs w:val="28"/>
      </w:rPr>
    </w:pPr>
    <w:r>
      <w:rPr>
        <w:rFonts w:ascii="Tahoma" w:hAnsi="Tahoma" w:cs="Tahoma"/>
        <w:noProof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-21590</wp:posOffset>
          </wp:positionV>
          <wp:extent cx="779145" cy="1207770"/>
          <wp:effectExtent l="19050" t="0" r="1905" b="0"/>
          <wp:wrapNone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7C36">
      <w:rPr>
        <w:rFonts w:ascii="Tahoma" w:hAnsi="Tahoma" w:cs="Tahoma"/>
        <w:b/>
        <w:shadow/>
        <w:color w:val="000000"/>
        <w:sz w:val="28"/>
        <w:szCs w:val="28"/>
      </w:rPr>
      <w:t>ROMÂNIA</w:t>
    </w:r>
  </w:p>
  <w:p w:rsidR="00C9139A" w:rsidRPr="00707C36" w:rsidRDefault="00C9139A" w:rsidP="00C9139A">
    <w:pPr>
      <w:jc w:val="center"/>
      <w:rPr>
        <w:rFonts w:ascii="Tahoma" w:hAnsi="Tahoma" w:cs="Tahoma"/>
        <w:b/>
        <w:color w:val="000000"/>
        <w:sz w:val="28"/>
        <w:szCs w:val="28"/>
      </w:rPr>
    </w:pPr>
    <w:r w:rsidRPr="00707C36">
      <w:rPr>
        <w:rFonts w:ascii="Tahoma" w:hAnsi="Tahoma" w:cs="Tahoma"/>
        <w:b/>
        <w:color w:val="000000"/>
        <w:sz w:val="28"/>
        <w:szCs w:val="28"/>
      </w:rPr>
      <w:t>JUDEŢUL CONSTANŢA</w:t>
    </w:r>
  </w:p>
  <w:p w:rsidR="00C9139A" w:rsidRPr="00707C36" w:rsidRDefault="00C9139A" w:rsidP="00C9139A">
    <w:pPr>
      <w:tabs>
        <w:tab w:val="center" w:pos="4535"/>
      </w:tabs>
      <w:rPr>
        <w:rFonts w:ascii="Tahoma" w:hAnsi="Tahoma" w:cs="Tahoma"/>
        <w:b/>
        <w:color w:val="000000"/>
        <w:sz w:val="28"/>
        <w:szCs w:val="28"/>
      </w:rPr>
    </w:pPr>
    <w:r>
      <w:rPr>
        <w:rFonts w:ascii="Tahoma" w:hAnsi="Tahoma" w:cs="Tahoma"/>
        <w:b/>
        <w:noProof/>
        <w:color w:val="000000"/>
        <w:sz w:val="28"/>
        <w:szCs w:val="28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-424180</wp:posOffset>
          </wp:positionV>
          <wp:extent cx="1085850" cy="1181100"/>
          <wp:effectExtent l="19050" t="0" r="0" b="0"/>
          <wp:wrapSquare wrapText="bothSides"/>
          <wp:docPr id="2" name="Picture 1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00"/>
        <w:sz w:val="28"/>
        <w:szCs w:val="28"/>
      </w:rPr>
      <w:tab/>
    </w:r>
    <w:r w:rsidRPr="00707C36">
      <w:rPr>
        <w:rFonts w:ascii="Tahoma" w:hAnsi="Tahoma" w:cs="Tahoma"/>
        <w:b/>
        <w:color w:val="000000"/>
        <w:sz w:val="28"/>
        <w:szCs w:val="28"/>
      </w:rPr>
      <w:t>COMUNA SALIGNY</w:t>
    </w:r>
  </w:p>
  <w:p w:rsidR="00C9139A" w:rsidRPr="00707C36" w:rsidRDefault="00463276" w:rsidP="00C9139A">
    <w:pPr>
      <w:jc w:val="center"/>
      <w:rPr>
        <w:rFonts w:ascii="Tahoma" w:hAnsi="Tahoma" w:cs="Tahoma"/>
        <w:b/>
        <w:shadow/>
        <w:color w:val="000000"/>
        <w:sz w:val="28"/>
        <w:szCs w:val="28"/>
        <w:lang w:val="fr-FR"/>
      </w:rPr>
    </w:pPr>
    <w:r>
      <w:rPr>
        <w:rFonts w:ascii="Tahoma" w:hAnsi="Tahoma" w:cs="Tahoma"/>
        <w:b/>
        <w:shadow/>
        <w:color w:val="000000"/>
        <w:sz w:val="28"/>
        <w:szCs w:val="28"/>
        <w:lang w:val="fr-FR"/>
      </w:rPr>
      <w:t>PRIMAR</w:t>
    </w:r>
  </w:p>
  <w:p w:rsidR="00463276" w:rsidRDefault="00463276" w:rsidP="00C9139A">
    <w:pPr>
      <w:jc w:val="center"/>
      <w:rPr>
        <w:rFonts w:ascii="Franklin Gothic Medium" w:hAnsi="Franklin Gothic Medium" w:cs="Arial"/>
        <w:color w:val="000000"/>
      </w:rPr>
    </w:pPr>
  </w:p>
  <w:p w:rsidR="00463276" w:rsidRDefault="00463276" w:rsidP="00C9139A">
    <w:pPr>
      <w:jc w:val="center"/>
      <w:rPr>
        <w:rFonts w:ascii="Franklin Gothic Medium" w:hAnsi="Franklin Gothic Medium" w:cs="Arial"/>
        <w:color w:val="000000"/>
      </w:rPr>
    </w:pPr>
  </w:p>
  <w:p w:rsidR="00C9139A" w:rsidRPr="00463276" w:rsidRDefault="00C9139A" w:rsidP="00463276">
    <w:pPr>
      <w:jc w:val="center"/>
      <w:rPr>
        <w:rFonts w:ascii="Franklin Gothic Medium" w:hAnsi="Franklin Gothic Medium" w:cs="Arial"/>
        <w:color w:val="000000"/>
      </w:rPr>
    </w:pPr>
    <w:r w:rsidRPr="007A0B5A">
      <w:rPr>
        <w:rFonts w:ascii="Franklin Gothic Medium" w:hAnsi="Franklin Gothic Medium" w:cs="Arial"/>
        <w:color w:val="000000"/>
      </w:rPr>
      <w:t>___________________________________________________</w:t>
    </w:r>
    <w:r>
      <w:rPr>
        <w:rFonts w:ascii="Franklin Gothic Medium" w:hAnsi="Franklin Gothic Medium" w:cs="Arial"/>
        <w:color w:val="000000"/>
      </w:rPr>
      <w:t>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3F06"/>
    <w:multiLevelType w:val="hybridMultilevel"/>
    <w:tmpl w:val="85B86598"/>
    <w:lvl w:ilvl="0" w:tplc="3568664A">
      <w:start w:val="1"/>
      <w:numFmt w:val="lowerLetter"/>
      <w:lvlText w:val="%1)"/>
      <w:lvlJc w:val="left"/>
      <w:pPr>
        <w:ind w:left="1770" w:hanging="10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51FFF"/>
    <w:multiLevelType w:val="hybridMultilevel"/>
    <w:tmpl w:val="6E8A31EC"/>
    <w:lvl w:ilvl="0" w:tplc="64B639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0F38"/>
    <w:multiLevelType w:val="hybridMultilevel"/>
    <w:tmpl w:val="D67CE4E0"/>
    <w:lvl w:ilvl="0" w:tplc="88408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E01C0"/>
    <w:multiLevelType w:val="hybridMultilevel"/>
    <w:tmpl w:val="FD684C68"/>
    <w:lvl w:ilvl="0" w:tplc="C4B01E24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93016"/>
    <w:rsid w:val="00093016"/>
    <w:rsid w:val="000F2574"/>
    <w:rsid w:val="001435DC"/>
    <w:rsid w:val="001D78F3"/>
    <w:rsid w:val="002825CC"/>
    <w:rsid w:val="00363C90"/>
    <w:rsid w:val="003E7386"/>
    <w:rsid w:val="00432AAA"/>
    <w:rsid w:val="00463276"/>
    <w:rsid w:val="00467925"/>
    <w:rsid w:val="00645E52"/>
    <w:rsid w:val="006B1878"/>
    <w:rsid w:val="00762AD9"/>
    <w:rsid w:val="00782AB1"/>
    <w:rsid w:val="00826E58"/>
    <w:rsid w:val="008F1292"/>
    <w:rsid w:val="00954AEF"/>
    <w:rsid w:val="00981AFF"/>
    <w:rsid w:val="00B62DA7"/>
    <w:rsid w:val="00C9139A"/>
    <w:rsid w:val="00CE770B"/>
    <w:rsid w:val="00E6687E"/>
    <w:rsid w:val="00E72281"/>
    <w:rsid w:val="00FA023F"/>
    <w:rsid w:val="00FD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02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1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39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C91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39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63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13</cp:revision>
  <cp:lastPrinted>2020-02-10T11:23:00Z</cp:lastPrinted>
  <dcterms:created xsi:type="dcterms:W3CDTF">2020-02-10T11:01:00Z</dcterms:created>
  <dcterms:modified xsi:type="dcterms:W3CDTF">2024-01-15T12:05:00Z</dcterms:modified>
</cp:coreProperties>
</file>