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9F" w:rsidRDefault="00267C9F" w:rsidP="00267C9F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9818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9F" w:rsidRDefault="00267C9F" w:rsidP="00267C9F">
      <w:pPr>
        <w:spacing w:before="240"/>
        <w:rPr>
          <w:b/>
          <w:bCs/>
          <w:color w:val="1F4E79" w:themeColor="accent1" w:themeShade="80"/>
          <w:sz w:val="28"/>
          <w:szCs w:val="28"/>
        </w:rPr>
      </w:pPr>
      <w:r>
        <w:rPr>
          <w:rFonts w:ascii="Times New Roman"/>
          <w:sz w:val="20"/>
          <w:szCs w:val="24"/>
        </w:rPr>
        <w:t xml:space="preserve">                                                                              </w:t>
      </w:r>
      <w:r>
        <w:rPr>
          <w:b/>
          <w:bCs/>
          <w:color w:val="1F4E79" w:themeColor="accent1" w:themeShade="80"/>
          <w:sz w:val="28"/>
          <w:szCs w:val="28"/>
        </w:rPr>
        <w:t>Comunicat de presă</w:t>
      </w:r>
    </w:p>
    <w:p w:rsidR="00267C9F" w:rsidRDefault="00267C9F" w:rsidP="00267C9F">
      <w:pPr>
        <w:jc w:val="center"/>
        <w:rPr>
          <w:b/>
          <w:bCs/>
          <w:color w:val="2E74B5" w:themeColor="accent1" w:themeShade="BF"/>
          <w:sz w:val="28"/>
          <w:szCs w:val="28"/>
        </w:rPr>
      </w:pPr>
      <w:r>
        <w:rPr>
          <w:b/>
          <w:bCs/>
          <w:color w:val="2E74B5" w:themeColor="accent1" w:themeShade="BF"/>
          <w:sz w:val="28"/>
          <w:szCs w:val="28"/>
        </w:rPr>
        <w:t>„PNRR: Fonduri pentru România modernă și reformată!”</w:t>
      </w:r>
    </w:p>
    <w:p w:rsidR="00267C9F" w:rsidRDefault="00267C9F" w:rsidP="00267C9F">
      <w:pPr>
        <w:ind w:left="360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- Comunicat începere proiect-</w:t>
      </w:r>
    </w:p>
    <w:p w:rsidR="00267C9F" w:rsidRDefault="00267C9F" w:rsidP="00267C9F"/>
    <w:p w:rsidR="00267C9F" w:rsidRDefault="00267C9F" w:rsidP="00267C9F"/>
    <w:p w:rsidR="00267C9F" w:rsidRDefault="00267C9F" w:rsidP="00267C9F">
      <w:pPr>
        <w:jc w:val="center"/>
        <w:rPr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Primăria  Comunei SALIGNY anunță proiectul </w:t>
      </w:r>
      <w:r>
        <w:rPr>
          <w:i/>
          <w:sz w:val="24"/>
          <w:szCs w:val="24"/>
        </w:rPr>
        <w:t>„Dotarea cu mobilier, materiale didactice și echipamente digitale a unității de învățământ preuniversitar și a unității conexe din Comuna Saligny, Jud. Constanța”, cod F-PNRR-Dotari-2023-1542</w:t>
      </w:r>
    </w:p>
    <w:p w:rsidR="00267C9F" w:rsidRDefault="00267C9F" w:rsidP="00267C9F">
      <w:pPr>
        <w:shd w:val="clear" w:color="auto" w:fill="FFFFFF" w:themeFill="background1"/>
        <w:ind w:left="360" w:firstLine="360"/>
        <w:jc w:val="both"/>
        <w:rPr>
          <w:rFonts w:eastAsia="Times New Roman"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semnarea contractului de finanțare nr. </w:t>
      </w:r>
      <w:r>
        <w:rPr>
          <w:rFonts w:eastAsia="Times New Roman"/>
          <w:i/>
          <w:color w:val="000000" w:themeColor="text1"/>
          <w:sz w:val="24"/>
          <w:szCs w:val="24"/>
        </w:rPr>
        <w:t xml:space="preserve">1204DOT/2023 din data de 17.08.2023 </w:t>
      </w:r>
    </w:p>
    <w:p w:rsidR="00267C9F" w:rsidRDefault="00267C9F" w:rsidP="00267C9F">
      <w:pPr>
        <w:shd w:val="clear" w:color="auto" w:fill="FFFFFF" w:themeFill="background1"/>
        <w:ind w:left="360" w:firstLine="360"/>
        <w:jc w:val="both"/>
        <w:rPr>
          <w:i/>
          <w:color w:val="000000" w:themeColor="text1"/>
          <w:sz w:val="24"/>
          <w:szCs w:val="24"/>
          <w:lang w:val="sv-SE"/>
        </w:rPr>
      </w:pPr>
      <w:r>
        <w:rPr>
          <w:i/>
          <w:color w:val="000000" w:themeColor="text1"/>
          <w:sz w:val="24"/>
          <w:szCs w:val="24"/>
          <w:lang w:val="sv-SE"/>
        </w:rPr>
        <w:t xml:space="preserve">Perioada de implementare a proiectului este de 16 luni. Data începerii și finalizării proiectului 18.08.2023-31.12.2024. </w:t>
      </w:r>
    </w:p>
    <w:p w:rsidR="00267C9F" w:rsidRDefault="00267C9F" w:rsidP="00267C9F">
      <w:pPr>
        <w:shd w:val="clear" w:color="auto" w:fill="FFFFFF" w:themeFill="background1"/>
        <w:ind w:left="360" w:firstLine="360"/>
        <w:jc w:val="both"/>
        <w:rPr>
          <w:rFonts w:eastAsia="Times New Roman"/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  <w:lang w:val="sv-SE"/>
        </w:rPr>
        <w:t>Codul proiectului F-PNRR-DOTARI-2023-1542.</w:t>
      </w:r>
    </w:p>
    <w:p w:rsidR="00267C9F" w:rsidRDefault="00267C9F" w:rsidP="00267C9F">
      <w:pPr>
        <w:widowControl/>
        <w:autoSpaceDE/>
        <w:ind w:left="360" w:firstLine="360"/>
        <w:jc w:val="both"/>
        <w:rPr>
          <w:i/>
          <w:color w:val="000000" w:themeColor="text1"/>
          <w:sz w:val="24"/>
          <w:szCs w:val="24"/>
          <w:u w:val="single" w:color="000000"/>
        </w:rPr>
      </w:pPr>
      <w:r>
        <w:rPr>
          <w:rFonts w:eastAsia="Times New Roman"/>
          <w:b/>
          <w:bCs/>
          <w:i/>
          <w:color w:val="000000" w:themeColor="text1"/>
          <w:sz w:val="24"/>
          <w:szCs w:val="24"/>
        </w:rPr>
        <w:t>Obiectivul  general</w:t>
      </w:r>
      <w:r>
        <w:rPr>
          <w:rFonts w:eastAsia="Times New Roman"/>
          <w:bCs/>
          <w:i/>
          <w:color w:val="000000" w:themeColor="text1"/>
          <w:sz w:val="24"/>
          <w:szCs w:val="24"/>
        </w:rPr>
        <w:t xml:space="preserve"> al proiectului este acela de a asigura un proces educational de calitate , modern pentru elevii Scolii Gimnaziale nr.1 Saligny .</w:t>
      </w:r>
    </w:p>
    <w:p w:rsidR="00267C9F" w:rsidRDefault="00267C9F" w:rsidP="00267C9F">
      <w:pPr>
        <w:widowControl/>
        <w:adjustRightInd w:val="0"/>
        <w:ind w:left="432"/>
        <w:rPr>
          <w:rFonts w:asciiTheme="minorHAnsi" w:eastAsiaTheme="minorHAnsi" w:hAnsiTheme="minorHAnsi" w:cstheme="minorHAnsi"/>
          <w:i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bCs/>
          <w:i/>
          <w:color w:val="000000" w:themeColor="text1"/>
          <w:sz w:val="24"/>
          <w:szCs w:val="24"/>
        </w:rPr>
        <w:t xml:space="preserve">       Obiectivul specific</w:t>
      </w:r>
      <w:r>
        <w:rPr>
          <w:rFonts w:asciiTheme="minorHAnsi" w:eastAsia="Times New Roman" w:hAnsiTheme="minorHAnsi" w:cstheme="minorHAnsi"/>
          <w:bCs/>
          <w:i/>
          <w:color w:val="000000" w:themeColor="text1"/>
          <w:sz w:val="24"/>
          <w:szCs w:val="24"/>
        </w:rPr>
        <w:t xml:space="preserve"> al proiectului îl constituie</w:t>
      </w:r>
      <w:r>
        <w:rPr>
          <w:rFonts w:asciiTheme="minorHAnsi" w:eastAsia="Times New Roman" w:hAnsiTheme="minorHAnsi" w:cstheme="minorHAnsi"/>
          <w:b/>
          <w:bCs/>
          <w:i/>
          <w:color w:val="000000" w:themeColor="text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„Dotarea cu mobilier, materiale didactice și echipamente digitale a unității de învățământ preuniversitar și a unității conexe din Comuna Saligny, Jud. Constanța” finantat </w:t>
      </w:r>
      <w:proofErr w:type="spellStart"/>
      <w:r>
        <w:rPr>
          <w:rFonts w:asciiTheme="minorHAnsi" w:eastAsiaTheme="minorHAnsi" w:hAnsiTheme="minorHAnsi" w:cstheme="minorHAnsi"/>
          <w:i/>
          <w:sz w:val="24"/>
          <w:szCs w:val="24"/>
          <w:lang w:val="en-US"/>
        </w:rPr>
        <w:t>prin</w:t>
      </w:r>
      <w:proofErr w:type="spellEnd"/>
      <w:r>
        <w:rPr>
          <w:rFonts w:asciiTheme="minorHAnsi" w:eastAsiaTheme="minorHAnsi" w:hAnsiTheme="minorHAnsi" w:cstheme="minorHAnsi"/>
          <w:i/>
          <w:sz w:val="24"/>
          <w:szCs w:val="24"/>
          <w:lang w:val="en-US"/>
        </w:rPr>
        <w:t xml:space="preserve"> </w:t>
      </w:r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PNRR\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Pilonul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VI.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Politici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noua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generație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\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Componenta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C15: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Educație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\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Reforma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4.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Crearea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unei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rute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profesionale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complete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învățământul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tehnic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superior \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Investiția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13.Echiparea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laboratoarelor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informatice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din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școlile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educație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formare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profesională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(EFP)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\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Investiția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14.Echiparea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atelierelor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practică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din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unitățile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învățământ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profesional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tehnic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Reforma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5.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Adoptarea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cadrului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legislativ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digitalizarea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educației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\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Investiția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9.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Asigurarea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echipamentelor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resurselor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tehnologice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digitale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unitățile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învățământ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precum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Reforma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6.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Actualizarea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cadrului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legislative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</w:t>
      </w:r>
      <w:proofErr w:type="gram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asigura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standarde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ecologice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proiectare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construcție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dotare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sistemul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învățământ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preuniversitar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\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Investiția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11.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Asigurarea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dotărilor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sălile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clasă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preuniversitare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laboratoarele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/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atelierele</w:t>
      </w:r>
      <w:proofErr w:type="spellEnd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>școlare</w:t>
      </w:r>
      <w:proofErr w:type="spellEnd"/>
      <w:r>
        <w:rPr>
          <w:rFonts w:asciiTheme="minorHAnsi" w:eastAsiaTheme="minorHAnsi" w:hAnsiTheme="minorHAnsi" w:cstheme="minorHAnsi"/>
          <w:i/>
          <w:sz w:val="24"/>
          <w:szCs w:val="24"/>
          <w:lang w:val="en-US"/>
        </w:rPr>
        <w:t>.</w:t>
      </w:r>
    </w:p>
    <w:p w:rsidR="00267C9F" w:rsidRDefault="00267C9F" w:rsidP="00267C9F">
      <w:pPr>
        <w:shd w:val="clear" w:color="auto" w:fill="FFFFFF" w:themeFill="background1"/>
        <w:ind w:left="576"/>
        <w:rPr>
          <w:rFonts w:eastAsia="Times New Roman"/>
          <w:i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i/>
          <w:iCs/>
          <w:sz w:val="24"/>
          <w:szCs w:val="24"/>
          <w:lang w:val="en-US"/>
        </w:rPr>
        <w:t xml:space="preserve">          </w:t>
      </w:r>
      <w:r>
        <w:rPr>
          <w:rFonts w:eastAsia="Times New Roman"/>
          <w:b/>
          <w:i/>
          <w:color w:val="000000" w:themeColor="text1"/>
          <w:sz w:val="24"/>
          <w:szCs w:val="24"/>
        </w:rPr>
        <w:t xml:space="preserve">Valoarea finantarii nerambursabile: 770.319,42 lei, </w:t>
      </w:r>
      <w:r>
        <w:rPr>
          <w:rFonts w:eastAsia="Times New Roman"/>
          <w:i/>
          <w:color w:val="000000" w:themeColor="text1"/>
          <w:sz w:val="24"/>
          <w:szCs w:val="24"/>
        </w:rPr>
        <w:t xml:space="preserve">din care valoare eligibila din PNRR este in cuantum de </w:t>
      </w:r>
      <w:r>
        <w:rPr>
          <w:rFonts w:eastAsia="Times New Roman"/>
          <w:b/>
          <w:i/>
          <w:color w:val="000000" w:themeColor="text1"/>
          <w:sz w:val="24"/>
          <w:szCs w:val="24"/>
        </w:rPr>
        <w:t>647.327, 24 lei, valoare TVA eligibil aferenta  este de 122.992,18 lei</w:t>
      </w:r>
      <w:r>
        <w:rPr>
          <w:rFonts w:eastAsia="Times New Roman"/>
          <w:i/>
          <w:color w:val="000000" w:themeColor="text1"/>
          <w:sz w:val="24"/>
          <w:szCs w:val="24"/>
        </w:rPr>
        <w:t xml:space="preserve"> .</w:t>
      </w:r>
    </w:p>
    <w:p w:rsidR="00267C9F" w:rsidRDefault="00267C9F" w:rsidP="00267C9F">
      <w:pPr>
        <w:pStyle w:val="BodyText"/>
        <w:tabs>
          <w:tab w:val="left" w:pos="8930"/>
        </w:tabs>
        <w:spacing w:before="184"/>
        <w:ind w:right="450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>
        <w:rPr>
          <w:color w:val="000000" w:themeColor="text1"/>
        </w:rPr>
        <w:t>COMUNA SALIGNY</w:t>
      </w:r>
      <w:r>
        <w:rPr>
          <w:color w:val="000000" w:themeColor="text1"/>
        </w:rPr>
        <w:tab/>
        <w:t xml:space="preserve">     </w:t>
      </w:r>
      <w:r>
        <w:rPr>
          <w:b/>
          <w:color w:val="000000" w:themeColor="text1"/>
        </w:rPr>
        <w:t>Primar</w:t>
      </w:r>
    </w:p>
    <w:p w:rsidR="00267C9F" w:rsidRDefault="00267C9F" w:rsidP="00267C9F">
      <w:pPr>
        <w:pStyle w:val="BodyText"/>
        <w:tabs>
          <w:tab w:val="left" w:pos="8819"/>
        </w:tabs>
        <w:ind w:left="898" w:right="450"/>
        <w:jc w:val="both"/>
        <w:rPr>
          <w:b/>
          <w:color w:val="000000" w:themeColor="text1"/>
        </w:rPr>
      </w:pPr>
      <w:r>
        <w:rPr>
          <w:color w:val="000000" w:themeColor="text1"/>
        </w:rPr>
        <w:t>e-mail:</w:t>
      </w:r>
      <w:r>
        <w:rPr>
          <w:color w:val="000000" w:themeColor="text1"/>
          <w:spacing w:val="-3"/>
        </w:rPr>
        <w:t xml:space="preserve"> </w:t>
      </w:r>
      <w:r>
        <w:rPr>
          <w:rFonts w:eastAsia="Times New Roman"/>
          <w:color w:val="000000" w:themeColor="text1"/>
        </w:rPr>
        <w:t>comunasaligny@primariasaligny.ro</w:t>
      </w:r>
      <w:r>
        <w:rPr>
          <w:color w:val="000000" w:themeColor="text1"/>
        </w:rPr>
        <w:t xml:space="preserve">                                                                            </w:t>
      </w:r>
      <w:r>
        <w:rPr>
          <w:b/>
          <w:color w:val="000000" w:themeColor="text1"/>
        </w:rPr>
        <w:t>Ion Beiu</w:t>
      </w:r>
    </w:p>
    <w:p w:rsidR="00267C9F" w:rsidRDefault="00267C9F" w:rsidP="00267C9F">
      <w:pPr>
        <w:pStyle w:val="BodyText"/>
        <w:ind w:left="178" w:right="450"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Telefon</w:t>
      </w:r>
      <w:proofErr w:type="spellEnd"/>
      <w:r>
        <w:rPr>
          <w:color w:val="000000" w:themeColor="text1"/>
          <w:lang w:val="en-US"/>
        </w:rPr>
        <w:t xml:space="preserve">: </w:t>
      </w:r>
      <w:r>
        <w:rPr>
          <w:rFonts w:eastAsia="Times New Roman"/>
          <w:color w:val="000000" w:themeColor="text1"/>
        </w:rPr>
        <w:t>0371111743/fax 0372877343</w:t>
      </w:r>
    </w:p>
    <w:p w:rsidR="00267C9F" w:rsidRPr="00267C9F" w:rsidRDefault="00267C9F" w:rsidP="00267C9F">
      <w:pPr>
        <w:pStyle w:val="BodyText"/>
        <w:spacing w:before="191"/>
        <w:ind w:left="1422" w:right="1101" w:firstLine="3"/>
        <w:jc w:val="center"/>
        <w:rPr>
          <w:color w:val="000000" w:themeColor="text1"/>
        </w:rPr>
      </w:pPr>
      <w:r>
        <w:rPr>
          <w:color w:val="000000" w:themeColor="text1"/>
        </w:rPr>
        <w:t>Apel de proiecte gestionat de Ministerul Dezvoltării, Lucrărilor Publice și Administrației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finanțat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din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fonduri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europene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prin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Planul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Național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Redresare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și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Reziliență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al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României</w:t>
      </w:r>
    </w:p>
    <w:p w:rsidR="00267C9F" w:rsidRDefault="00267C9F" w:rsidP="00267C9F">
      <w:pPr>
        <w:pStyle w:val="BodyText"/>
        <w:ind w:left="321"/>
        <w:jc w:val="center"/>
        <w:rPr>
          <w:color w:val="000000" w:themeColor="text1"/>
        </w:rPr>
      </w:pPr>
      <w:r>
        <w:rPr>
          <w:color w:val="000000" w:themeColor="text1"/>
        </w:rPr>
        <w:t>„Conținutul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acestui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material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nu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reprezintă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în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mod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obligatoriu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poziția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oficială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Uniunii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Europene</w:t>
      </w:r>
    </w:p>
    <w:p w:rsidR="00267C9F" w:rsidRDefault="00267C9F" w:rsidP="00267C9F">
      <w:pPr>
        <w:pStyle w:val="BodyText"/>
        <w:ind w:left="323"/>
        <w:jc w:val="center"/>
        <w:rPr>
          <w:color w:val="000000" w:themeColor="text1"/>
        </w:rPr>
      </w:pPr>
      <w:r>
        <w:rPr>
          <w:color w:val="000000" w:themeColor="text1"/>
        </w:rPr>
        <w:t>sau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Guvernului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României”</w:t>
      </w:r>
    </w:p>
    <w:p w:rsidR="00267C9F" w:rsidRDefault="00267C9F" w:rsidP="00267C9F">
      <w:pPr>
        <w:pStyle w:val="BodyText"/>
        <w:spacing w:before="11"/>
        <w:rPr>
          <w:sz w:val="11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69789220" wp14:editId="518AB2C3">
            <wp:simplePos x="0" y="0"/>
            <wp:positionH relativeFrom="page">
              <wp:posOffset>2047875</wp:posOffset>
            </wp:positionH>
            <wp:positionV relativeFrom="paragraph">
              <wp:posOffset>117475</wp:posOffset>
            </wp:positionV>
            <wp:extent cx="3669030" cy="119380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C9F" w:rsidRDefault="00267C9F" w:rsidP="00267C9F">
      <w:pPr>
        <w:spacing w:before="33"/>
        <w:ind w:left="327"/>
        <w:jc w:val="center"/>
        <w:rPr>
          <w:rFonts w:ascii="Arial MT" w:hAnsi="Arial MT"/>
        </w:rPr>
      </w:pPr>
      <w:r>
        <w:rPr>
          <w:rFonts w:ascii="Arial MT" w:hAnsi="Arial MT"/>
          <w:w w:val="90"/>
        </w:rPr>
        <w:t>„PNRR.</w:t>
      </w:r>
      <w:r>
        <w:rPr>
          <w:rFonts w:ascii="Arial MT" w:hAnsi="Arial MT"/>
          <w:spacing w:val="26"/>
          <w:w w:val="90"/>
        </w:rPr>
        <w:t xml:space="preserve"> </w:t>
      </w:r>
      <w:r>
        <w:rPr>
          <w:rFonts w:ascii="Arial MT" w:hAnsi="Arial MT"/>
          <w:w w:val="90"/>
        </w:rPr>
        <w:t>Finanțat</w:t>
      </w:r>
      <w:r>
        <w:rPr>
          <w:rFonts w:ascii="Arial MT" w:hAnsi="Arial MT"/>
          <w:spacing w:val="27"/>
          <w:w w:val="90"/>
        </w:rPr>
        <w:t xml:space="preserve"> </w:t>
      </w:r>
      <w:r>
        <w:rPr>
          <w:rFonts w:ascii="Arial MT" w:hAnsi="Arial MT"/>
          <w:w w:val="90"/>
        </w:rPr>
        <w:t>de</w:t>
      </w:r>
      <w:r>
        <w:rPr>
          <w:rFonts w:ascii="Arial MT" w:hAnsi="Arial MT"/>
          <w:spacing w:val="22"/>
          <w:w w:val="90"/>
        </w:rPr>
        <w:t xml:space="preserve"> </w:t>
      </w:r>
      <w:r>
        <w:rPr>
          <w:rFonts w:ascii="Arial MT" w:hAnsi="Arial MT"/>
          <w:w w:val="90"/>
        </w:rPr>
        <w:t>Uniunea</w:t>
      </w:r>
      <w:r>
        <w:rPr>
          <w:rFonts w:ascii="Arial MT" w:hAnsi="Arial MT"/>
          <w:spacing w:val="24"/>
          <w:w w:val="90"/>
        </w:rPr>
        <w:t xml:space="preserve"> </w:t>
      </w:r>
      <w:r>
        <w:rPr>
          <w:rFonts w:ascii="Arial MT" w:hAnsi="Arial MT"/>
          <w:w w:val="90"/>
        </w:rPr>
        <w:t>Europeană</w:t>
      </w:r>
      <w:r>
        <w:rPr>
          <w:rFonts w:ascii="Arial MT" w:hAnsi="Arial MT"/>
          <w:spacing w:val="25"/>
          <w:w w:val="90"/>
        </w:rPr>
        <w:t xml:space="preserve"> </w:t>
      </w:r>
      <w:r>
        <w:rPr>
          <w:rFonts w:ascii="Arial MT" w:hAnsi="Arial MT"/>
          <w:w w:val="90"/>
        </w:rPr>
        <w:t>-</w:t>
      </w:r>
      <w:r>
        <w:rPr>
          <w:rFonts w:ascii="Arial MT" w:hAnsi="Arial MT"/>
          <w:spacing w:val="23"/>
          <w:w w:val="90"/>
        </w:rPr>
        <w:t xml:space="preserve"> </w:t>
      </w:r>
      <w:r>
        <w:rPr>
          <w:rFonts w:ascii="Arial MT" w:hAnsi="Arial MT"/>
          <w:w w:val="90"/>
        </w:rPr>
        <w:t>UrmătoareaGenerațieUE”</w:t>
      </w:r>
    </w:p>
    <w:p w:rsidR="00267C9F" w:rsidRDefault="00267C9F" w:rsidP="00267C9F">
      <w:pPr>
        <w:tabs>
          <w:tab w:val="left" w:pos="3401"/>
        </w:tabs>
        <w:ind w:left="326"/>
        <w:jc w:val="center"/>
        <w:rPr>
          <w:rFonts w:ascii="Arial MT"/>
          <w:sz w:val="18"/>
        </w:rPr>
      </w:pPr>
      <w:r>
        <w:rPr>
          <w:rFonts w:ascii="Arial MT"/>
          <w:color w:val="0000FF"/>
          <w:sz w:val="18"/>
        </w:rPr>
        <w:tab/>
      </w:r>
      <w:hyperlink r:id="rId6" w:history="1">
        <w:r>
          <w:rPr>
            <w:rStyle w:val="Hyperlink"/>
            <w:rFonts w:ascii="Arial MT"/>
            <w:sz w:val="18"/>
          </w:rPr>
          <w:t>https://www.facebook.com/PNRROficial/</w:t>
        </w:r>
      </w:hyperlink>
    </w:p>
    <w:p w:rsidR="00267C9F" w:rsidRDefault="00267C9F" w:rsidP="00267C9F">
      <w:pPr>
        <w:tabs>
          <w:tab w:val="left" w:pos="3401"/>
        </w:tabs>
        <w:ind w:left="326"/>
        <w:jc w:val="center"/>
        <w:rPr>
          <w:rFonts w:ascii="Arial MT"/>
          <w:sz w:val="18"/>
        </w:rPr>
      </w:pPr>
    </w:p>
    <w:p w:rsidR="002F3DC8" w:rsidRDefault="00613C9B"/>
    <w:sectPr w:rsidR="002F3DC8" w:rsidSect="00267C9F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DF"/>
    <w:rsid w:val="00267C9F"/>
    <w:rsid w:val="002771A5"/>
    <w:rsid w:val="00613C9B"/>
    <w:rsid w:val="008D02EB"/>
    <w:rsid w:val="009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3434A-E93D-4C7C-80DA-8B84CDB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7C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267C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67C9F"/>
    <w:rPr>
      <w:rFonts w:ascii="Calibri" w:eastAsia="Calibri" w:hAnsi="Calibri" w:cs="Calibri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267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3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 Elena</dc:creator>
  <cp:keywords/>
  <dc:description/>
  <cp:lastModifiedBy>Simion Elena</cp:lastModifiedBy>
  <cp:revision>3</cp:revision>
  <dcterms:created xsi:type="dcterms:W3CDTF">2024-02-14T13:18:00Z</dcterms:created>
  <dcterms:modified xsi:type="dcterms:W3CDTF">2024-02-14T13:22:00Z</dcterms:modified>
</cp:coreProperties>
</file>